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6E5ED0">
        <w:rPr>
          <w:rFonts w:ascii="Times New Roman" w:hAnsi="Times New Roman" w:cs="Times New Roman"/>
        </w:rPr>
        <w:t xml:space="preserve"> </w:t>
      </w:r>
      <w:r w:rsidR="006E5ED0">
        <w:rPr>
          <w:rFonts w:ascii="Times New Roman" w:hAnsi="Times New Roman" w:cs="Times New Roman"/>
          <w:i/>
          <w:u w:val="single"/>
        </w:rPr>
        <w:t>а</w:t>
      </w:r>
      <w:r w:rsidR="0090123B">
        <w:rPr>
          <w:rFonts w:ascii="Times New Roman" w:hAnsi="Times New Roman" w:cs="Times New Roman"/>
          <w:i/>
          <w:u w:val="single"/>
        </w:rPr>
        <w:t>варийно-восстановительные работы на сетях водоснабжения ЦЭВС-</w:t>
      </w:r>
      <w:r w:rsidR="006E5ED0">
        <w:rPr>
          <w:rFonts w:ascii="Times New Roman" w:hAnsi="Times New Roman" w:cs="Times New Roman"/>
          <w:i/>
          <w:u w:val="single"/>
        </w:rPr>
        <w:t>2</w:t>
      </w:r>
      <w:r w:rsidR="00436649" w:rsidRPr="00436649">
        <w:rPr>
          <w:rFonts w:ascii="Times New Roman" w:hAnsi="Times New Roman" w:cs="Times New Roman"/>
          <w:i/>
          <w:u w:val="single"/>
        </w:rPr>
        <w:t xml:space="preserve"> </w:t>
      </w:r>
      <w:r w:rsidR="006E5ED0" w:rsidRPr="00BF2F9A">
        <w:rPr>
          <w:rFonts w:ascii="Times New Roman" w:hAnsi="Times New Roman" w:cs="Times New Roman"/>
          <w:i/>
          <w:u w:val="single"/>
        </w:rPr>
        <w:t xml:space="preserve">ООО "Самарские коммунальные системы" </w:t>
      </w:r>
      <w:bookmarkStart w:id="0" w:name="_GoBack"/>
      <w:bookmarkEnd w:id="0"/>
      <w:r w:rsidR="006E5ED0" w:rsidRPr="00BF2F9A">
        <w:rPr>
          <w:rFonts w:ascii="Times New Roman" w:hAnsi="Times New Roman" w:cs="Times New Roman"/>
          <w:i/>
          <w:u w:val="single"/>
        </w:rPr>
        <w:t xml:space="preserve">в </w:t>
      </w:r>
      <w:r w:rsidR="006E5ED0" w:rsidRPr="006E5ED0">
        <w:rPr>
          <w:rFonts w:ascii="Times New Roman" w:hAnsi="Times New Roman" w:cs="Times New Roman"/>
          <w:i/>
          <w:u w:val="single"/>
        </w:rPr>
        <w:t xml:space="preserve">Промышленном, Советском районах, в Кировском, </w:t>
      </w:r>
      <w:proofErr w:type="spellStart"/>
      <w:r w:rsidR="006E5ED0" w:rsidRPr="006E5ED0">
        <w:rPr>
          <w:rFonts w:ascii="Times New Roman" w:hAnsi="Times New Roman" w:cs="Times New Roman"/>
          <w:i/>
          <w:u w:val="single"/>
        </w:rPr>
        <w:t>Красноглинском</w:t>
      </w:r>
      <w:proofErr w:type="spellEnd"/>
      <w:r w:rsidR="006E5ED0" w:rsidRPr="006E5ED0">
        <w:rPr>
          <w:rFonts w:ascii="Times New Roman" w:hAnsi="Times New Roman" w:cs="Times New Roman"/>
          <w:i/>
          <w:u w:val="single"/>
        </w:rPr>
        <w:t xml:space="preserve"> районах</w:t>
      </w:r>
      <w:r w:rsidR="006E5ED0" w:rsidRPr="00BF2F9A">
        <w:rPr>
          <w:rFonts w:ascii="Times New Roman" w:hAnsi="Times New Roman" w:cs="Times New Roman"/>
          <w:i/>
          <w:u w:val="single"/>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 xml:space="preserve">бъект), по содержанию и в объеме, </w:t>
      </w:r>
      <w:r w:rsidR="0090123B" w:rsidRPr="0090123B">
        <w:rPr>
          <w:rFonts w:ascii="Times New Roman" w:hAnsi="Times New Roman" w:cs="Times New Roman"/>
          <w:bCs/>
          <w:iCs/>
        </w:rPr>
        <w:t>указанном в Техническом задании (Приложение № 1 к Договору) и Регламенте</w:t>
      </w:r>
      <w:r w:rsidR="009C719D">
        <w:rPr>
          <w:rFonts w:ascii="Times New Roman" w:hAnsi="Times New Roman" w:cs="Times New Roman"/>
          <w:bCs/>
          <w:iCs/>
        </w:rPr>
        <w:t xml:space="preserve"> взаимодействия</w:t>
      </w:r>
      <w:r w:rsidR="0090123B" w:rsidRPr="0090123B">
        <w:rPr>
          <w:rFonts w:ascii="Times New Roman" w:hAnsi="Times New Roman" w:cs="Times New Roman"/>
          <w:bCs/>
          <w:iCs/>
        </w:rPr>
        <w:t xml:space="preserve">  (Приложение №</w:t>
      </w:r>
      <w:r w:rsidR="002B13EC">
        <w:rPr>
          <w:rFonts w:ascii="Times New Roman" w:hAnsi="Times New Roman" w:cs="Times New Roman"/>
          <w:bCs/>
          <w:iCs/>
        </w:rPr>
        <w:t>1</w:t>
      </w:r>
      <w:r w:rsidR="0090123B" w:rsidRPr="0090123B">
        <w:rPr>
          <w:rFonts w:ascii="Times New Roman" w:hAnsi="Times New Roman" w:cs="Times New Roman"/>
          <w:bCs/>
          <w:iCs/>
        </w:rPr>
        <w:t xml:space="preserve"> к </w:t>
      </w:r>
      <w:r w:rsidR="002B13EC">
        <w:rPr>
          <w:rFonts w:ascii="Times New Roman" w:hAnsi="Times New Roman" w:cs="Times New Roman"/>
          <w:bCs/>
          <w:iCs/>
        </w:rPr>
        <w:t>Техническому заданию (Приложение №1 к</w:t>
      </w:r>
      <w:proofErr w:type="gramEnd"/>
      <w:r w:rsidR="002B13EC">
        <w:rPr>
          <w:rFonts w:ascii="Times New Roman" w:hAnsi="Times New Roman" w:cs="Times New Roman"/>
          <w:bCs/>
          <w:iCs/>
        </w:rPr>
        <w:t xml:space="preserve"> </w:t>
      </w:r>
      <w:proofErr w:type="gramStart"/>
      <w:r w:rsidR="002B13EC">
        <w:rPr>
          <w:rFonts w:ascii="Times New Roman" w:hAnsi="Times New Roman" w:cs="Times New Roman"/>
          <w:bCs/>
          <w:iCs/>
        </w:rPr>
        <w:t>Договору</w:t>
      </w:r>
      <w:r w:rsidR="0090123B" w:rsidRPr="0090123B">
        <w:rPr>
          <w:rFonts w:ascii="Times New Roman" w:hAnsi="Times New Roman" w:cs="Times New Roman"/>
          <w:bCs/>
          <w:iCs/>
        </w:rPr>
        <w:t>), составляющими его неотъемлемую часть.</w:t>
      </w:r>
      <w:proofErr w:type="gramEnd"/>
      <w:r w:rsidR="0090123B" w:rsidRPr="0090123B">
        <w:rPr>
          <w:rFonts w:ascii="Times New Roman" w:hAnsi="Times New Roman" w:cs="Times New Roman"/>
          <w:bCs/>
          <w:iCs/>
        </w:rPr>
        <w:t xml:space="preserve"> Заказчик обязуется в рамках своей компетенции создать необходимые условия для выполнения Работы, принять результат Работы в порядке и на условиях, определенных </w:t>
      </w:r>
      <w:r w:rsidR="0090123B" w:rsidRPr="007D55CF">
        <w:rPr>
          <w:rFonts w:ascii="Times New Roman" w:hAnsi="Times New Roman" w:cs="Times New Roman"/>
          <w:bCs/>
          <w:iCs/>
        </w:rPr>
        <w:t>настоящим</w:t>
      </w:r>
      <w:r w:rsidR="0090123B" w:rsidRPr="0090123B">
        <w:rPr>
          <w:rFonts w:ascii="Times New Roman" w:hAnsi="Times New Roman" w:cs="Times New Roman"/>
          <w:bCs/>
          <w:iCs/>
        </w:rPr>
        <w:t xml:space="preserve"> Договором и уплатить обусловленную настоящим Договором цену.</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7D55CF" w:rsidRDefault="007D55CF" w:rsidP="007D55CF">
      <w:pPr>
        <w:pStyle w:val="af6"/>
        <w:jc w:val="both"/>
        <w:rPr>
          <w:rFonts w:ascii="Times New Roman" w:hAnsi="Times New Roman" w:cs="Times New Roman"/>
        </w:rPr>
      </w:pPr>
      <w:r>
        <w:rPr>
          <w:rFonts w:ascii="Times New Roman" w:hAnsi="Times New Roman" w:cs="Times New Roman"/>
          <w:lang w:eastAsia="ru-RU"/>
        </w:rPr>
        <w:t xml:space="preserve">              </w:t>
      </w:r>
      <w:r w:rsidRPr="007D55CF">
        <w:rPr>
          <w:rFonts w:ascii="Times New Roman" w:hAnsi="Times New Roman" w:cs="Times New Roman"/>
          <w:lang w:eastAsia="ru-RU"/>
        </w:rPr>
        <w:t xml:space="preserve">1.2. </w:t>
      </w:r>
      <w:r w:rsidRPr="007D55CF">
        <w:rPr>
          <w:rFonts w:ascii="Times New Roman" w:hAnsi="Times New Roman" w:cs="Times New Roman"/>
        </w:rPr>
        <w:t xml:space="preserve">Состав и объемы работ определяются по каждому конкретному адресу в соответствии с порядком, указанном в Регламенте </w:t>
      </w:r>
      <w:r w:rsidR="009C719D">
        <w:rPr>
          <w:rFonts w:ascii="Times New Roman" w:hAnsi="Times New Roman" w:cs="Times New Roman"/>
        </w:rPr>
        <w:t xml:space="preserve">взаимодействия </w:t>
      </w:r>
      <w:r w:rsidRPr="007D55CF">
        <w:rPr>
          <w:rFonts w:ascii="Times New Roman" w:hAnsi="Times New Roman" w:cs="Times New Roman"/>
        </w:rPr>
        <w:t>(Приложение №</w:t>
      </w:r>
      <w:r w:rsidR="002B13EC">
        <w:rPr>
          <w:rFonts w:ascii="Times New Roman" w:hAnsi="Times New Roman" w:cs="Times New Roman"/>
        </w:rPr>
        <w:t>1 к Техническому заданию</w:t>
      </w:r>
      <w:r w:rsidRPr="007D55CF">
        <w:rPr>
          <w:rFonts w:ascii="Times New Roman" w:hAnsi="Times New Roman" w:cs="Times New Roman"/>
        </w:rPr>
        <w:t>)</w:t>
      </w:r>
      <w:r w:rsidR="002B13EC">
        <w:rPr>
          <w:rFonts w:ascii="Times New Roman" w:hAnsi="Times New Roman" w:cs="Times New Roman"/>
        </w:rPr>
        <w:t>.</w:t>
      </w:r>
    </w:p>
    <w:p w:rsidR="0090123B" w:rsidRPr="007D55CF" w:rsidRDefault="007D55CF" w:rsidP="007D55CF">
      <w:pPr>
        <w:pStyle w:val="af6"/>
        <w:jc w:val="both"/>
        <w:rPr>
          <w:rFonts w:ascii="Times New Roman" w:hAnsi="Times New Roman" w:cs="Times New Roman"/>
        </w:rPr>
      </w:pPr>
      <w:r>
        <w:rPr>
          <w:rFonts w:ascii="Times New Roman" w:hAnsi="Times New Roman" w:cs="Times New Roman"/>
        </w:rPr>
        <w:t xml:space="preserve">              </w:t>
      </w:r>
      <w:r w:rsidRPr="007D55CF">
        <w:rPr>
          <w:rFonts w:ascii="Times New Roman" w:hAnsi="Times New Roman" w:cs="Times New Roman"/>
        </w:rPr>
        <w:t>1.3</w:t>
      </w:r>
      <w:r w:rsidR="0090123B" w:rsidRPr="007D55CF">
        <w:rPr>
          <w:rFonts w:ascii="Times New Roman" w:hAnsi="Times New Roman" w:cs="Times New Roman"/>
        </w:rPr>
        <w:t>. Сроки и место выполнения работ определяются Заказчиком, в соответствии с разрешениями на производство земляных работ в заявке на устранение утечек на водопроводных сетях по форме Приложения №</w:t>
      </w:r>
      <w:r w:rsidR="002B13EC">
        <w:rPr>
          <w:rFonts w:ascii="Times New Roman" w:hAnsi="Times New Roman" w:cs="Times New Roman"/>
        </w:rPr>
        <w:t>2</w:t>
      </w:r>
      <w:r w:rsidR="0090123B" w:rsidRPr="007D55CF">
        <w:rPr>
          <w:rFonts w:ascii="Times New Roman" w:hAnsi="Times New Roman" w:cs="Times New Roman"/>
        </w:rPr>
        <w:t xml:space="preserve"> к Регламенту </w:t>
      </w:r>
      <w:r w:rsidR="009C719D">
        <w:rPr>
          <w:rFonts w:ascii="Times New Roman" w:hAnsi="Times New Roman" w:cs="Times New Roman"/>
        </w:rPr>
        <w:t xml:space="preserve">взаимодействия </w:t>
      </w:r>
      <w:r w:rsidR="0090123B" w:rsidRPr="007D55CF">
        <w:rPr>
          <w:rFonts w:ascii="Times New Roman" w:hAnsi="Times New Roman" w:cs="Times New Roman"/>
        </w:rPr>
        <w:t>(Приложение №</w:t>
      </w:r>
      <w:r w:rsidR="002B13EC">
        <w:rPr>
          <w:rFonts w:ascii="Times New Roman" w:hAnsi="Times New Roman" w:cs="Times New Roman"/>
        </w:rPr>
        <w:t>1</w:t>
      </w:r>
      <w:r w:rsidR="0090123B" w:rsidRPr="007D55CF">
        <w:rPr>
          <w:rFonts w:ascii="Times New Roman" w:hAnsi="Times New Roman" w:cs="Times New Roman"/>
        </w:rPr>
        <w:t xml:space="preserve"> к </w:t>
      </w:r>
      <w:r w:rsidR="002B13EC">
        <w:rPr>
          <w:rFonts w:ascii="Times New Roman" w:hAnsi="Times New Roman" w:cs="Times New Roman"/>
        </w:rPr>
        <w:t>Техническому заданию</w:t>
      </w:r>
      <w:r w:rsidR="0090123B" w:rsidRPr="007D55CF">
        <w:rPr>
          <w:rFonts w:ascii="Times New Roman" w:hAnsi="Times New Roman" w:cs="Times New Roman"/>
        </w:rPr>
        <w:t>).</w:t>
      </w:r>
    </w:p>
    <w:p w:rsidR="0090123B" w:rsidRDefault="0090123B" w:rsidP="0090123B">
      <w:pPr>
        <w:autoSpaceDE w:val="0"/>
        <w:autoSpaceDN w:val="0"/>
        <w:adjustRightInd w:val="0"/>
        <w:spacing w:after="0" w:line="240" w:lineRule="auto"/>
        <w:ind w:firstLine="709"/>
        <w:jc w:val="both"/>
        <w:rPr>
          <w:rFonts w:ascii="Times New Roman" w:hAnsi="Times New Roman"/>
          <w:szCs w:val="24"/>
        </w:rPr>
      </w:pPr>
    </w:p>
    <w:p w:rsidR="0090123B" w:rsidRDefault="008F24BC" w:rsidP="000C0FF6">
      <w:pPr>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90123B">
        <w:rPr>
          <w:rFonts w:ascii="Times New Roman" w:hAnsi="Times New Roman" w:cs="Times New Roman"/>
          <w:b/>
        </w:rPr>
        <w:t>.</w:t>
      </w:r>
    </w:p>
    <w:p w:rsidR="00513ADA" w:rsidRPr="00E52CE0" w:rsidRDefault="001C44B4" w:rsidP="0090123B">
      <w:pPr>
        <w:autoSpaceDE w:val="0"/>
        <w:autoSpaceDN w:val="0"/>
        <w:adjustRightInd w:val="0"/>
        <w:spacing w:after="0" w:line="240" w:lineRule="auto"/>
        <w:contextualSpacing/>
        <w:outlineLvl w:val="0"/>
        <w:rPr>
          <w:rFonts w:ascii="Times New Roman" w:hAnsi="Times New Roman" w:cs="Times New Roman"/>
          <w:b/>
          <w:bCs/>
          <w:iCs/>
        </w:rPr>
      </w:pPr>
      <w:r w:rsidRPr="00E52CE0" w:rsidDel="001C44B4">
        <w:rPr>
          <w:rFonts w:ascii="Times New Roman" w:hAnsi="Times New Roman" w:cs="Times New Roman"/>
          <w:b/>
          <w:bCs/>
          <w:iCs/>
        </w:rPr>
        <w:t xml:space="preserve"> </w:t>
      </w: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w:t>
      </w:r>
      <w:r w:rsidR="007D55CF">
        <w:rPr>
          <w:rFonts w:ascii="Times New Roman" w:hAnsi="Times New Roman" w:cs="Times New Roman"/>
          <w:sz w:val="22"/>
          <w:szCs w:val="22"/>
        </w:rPr>
        <w:t>Ведомости договорной цены</w:t>
      </w:r>
      <w:r w:rsidRPr="002F5F2D">
        <w:rPr>
          <w:rFonts w:ascii="Times New Roman" w:hAnsi="Times New Roman" w:cs="Times New Roman"/>
          <w:sz w:val="22"/>
          <w:szCs w:val="22"/>
        </w:rPr>
        <w:t xml:space="preserve"> (Приложение № </w:t>
      </w:r>
      <w:r w:rsidR="002B13EC">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w:t>
      </w:r>
      <w:r w:rsidRPr="004D6F04">
        <w:rPr>
          <w:rFonts w:ascii="Times New Roman" w:hAnsi="Times New Roman" w:cs="Times New Roman"/>
        </w:rPr>
        <w:lastRenderedPageBreak/>
        <w:t>приемки выполненных работ, подписанных Сторонами, подтверждающих выполнение работ по Договору</w:t>
      </w:r>
      <w:r w:rsidR="000216F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 xml:space="preserve">и </w:t>
      </w:r>
      <w:r w:rsidR="00DE7465" w:rsidRPr="00F453B8">
        <w:rPr>
          <w:rFonts w:ascii="Times New Roman" w:eastAsia="Times New Roman" w:hAnsi="Times New Roman" w:cs="Times New Roman"/>
          <w:lang w:eastAsia="ru-RU"/>
        </w:rPr>
        <w:lastRenderedPageBreak/>
        <w:t>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 xml:space="preserve">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w:t>
      </w:r>
      <w:r w:rsidR="002A652F" w:rsidRPr="00AD18B2">
        <w:rPr>
          <w:rFonts w:ascii="Times New Roman" w:eastAsia="Times New Roman" w:hAnsi="Times New Roman" w:cs="Times New Roman"/>
          <w:lang w:eastAsia="ru-RU"/>
        </w:rPr>
        <w:lastRenderedPageBreak/>
        <w:t>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lastRenderedPageBreak/>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w:t>
      </w:r>
      <w:r w:rsidRPr="00E52CE0">
        <w:rPr>
          <w:rFonts w:ascii="Times New Roman" w:eastAsiaTheme="minorHAnsi" w:hAnsi="Times New Roman" w:cs="Times New Roman"/>
          <w:sz w:val="22"/>
          <w:szCs w:val="22"/>
          <w:lang w:eastAsia="en-US"/>
        </w:rPr>
        <w:lastRenderedPageBreak/>
        <w:t>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w:t>
      </w:r>
      <w:r w:rsidR="0048430A" w:rsidRPr="00E52CE0">
        <w:rPr>
          <w:rFonts w:ascii="Times New Roman" w:eastAsiaTheme="minorHAnsi" w:hAnsi="Times New Roman" w:cs="Times New Roman"/>
          <w:sz w:val="22"/>
          <w:szCs w:val="22"/>
          <w:lang w:eastAsia="en-US"/>
        </w:rPr>
        <w:lastRenderedPageBreak/>
        <w:t>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0216F4" w:rsidRPr="000216F4" w:rsidRDefault="000216F4" w:rsidP="000216F4">
      <w:pPr>
        <w:pStyle w:val="ConsPlusNormal"/>
        <w:ind w:firstLine="0"/>
        <w:rPr>
          <w:rFonts w:ascii="Times New Roman" w:eastAsiaTheme="minorHAnsi" w:hAnsi="Times New Roman" w:cs="Times New Roman"/>
        </w:rPr>
      </w:pPr>
      <w:r w:rsidRPr="000216F4">
        <w:rPr>
          <w:rFonts w:ascii="Times New Roman" w:eastAsiaTheme="minorHAnsi" w:hAnsi="Times New Roman" w:cs="Times New Roman"/>
        </w:rPr>
        <w:t>Приложение № 1 – Техническое задание</w:t>
      </w:r>
    </w:p>
    <w:p w:rsidR="000216F4" w:rsidRPr="000216F4" w:rsidRDefault="000216F4" w:rsidP="000216F4">
      <w:pPr>
        <w:pStyle w:val="ConsPlusNormal"/>
        <w:ind w:firstLine="0"/>
        <w:rPr>
          <w:rFonts w:ascii="Times New Roman" w:eastAsiaTheme="minorHAnsi" w:hAnsi="Times New Roman" w:cs="Times New Roman"/>
        </w:rPr>
      </w:pPr>
      <w:r>
        <w:rPr>
          <w:rFonts w:ascii="Times New Roman" w:eastAsiaTheme="minorHAnsi" w:hAnsi="Times New Roman" w:cs="Times New Roman"/>
        </w:rPr>
        <w:t xml:space="preserve">Приложение № </w:t>
      </w:r>
      <w:r w:rsidR="002B13EC">
        <w:rPr>
          <w:rFonts w:ascii="Times New Roman" w:eastAsiaTheme="minorHAnsi" w:hAnsi="Times New Roman" w:cs="Times New Roman"/>
        </w:rPr>
        <w:t>2</w:t>
      </w:r>
      <w:r w:rsidRPr="000216F4">
        <w:rPr>
          <w:rFonts w:ascii="Times New Roman" w:eastAsiaTheme="minorHAnsi" w:hAnsi="Times New Roman" w:cs="Times New Roman"/>
        </w:rPr>
        <w:t xml:space="preserve"> – Ведомость договорной цены.</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1057" w:type="dxa"/>
        <w:tblInd w:w="-601" w:type="dxa"/>
        <w:tblLayout w:type="fixed"/>
        <w:tblLook w:val="0000" w:firstRow="0" w:lastRow="0" w:firstColumn="0" w:lastColumn="0" w:noHBand="0" w:noVBand="0"/>
      </w:tblPr>
      <w:tblGrid>
        <w:gridCol w:w="567"/>
        <w:gridCol w:w="4395"/>
        <w:gridCol w:w="709"/>
        <w:gridCol w:w="4536"/>
        <w:gridCol w:w="850"/>
      </w:tblGrid>
      <w:tr w:rsidR="00737F00" w:rsidRPr="009535F4" w:rsidTr="00853A11">
        <w:trPr>
          <w:gridAfter w:val="1"/>
          <w:wAfter w:w="850" w:type="dxa"/>
          <w:trHeight w:val="404"/>
        </w:trPr>
        <w:tc>
          <w:tcPr>
            <w:tcW w:w="4962" w:type="dxa"/>
            <w:gridSpan w:val="2"/>
            <w:tcBorders>
              <w:top w:val="dotted" w:sz="4" w:space="0" w:color="000000"/>
              <w:left w:val="dotted" w:sz="4" w:space="0" w:color="000000"/>
              <w:bottom w:val="dotted" w:sz="4" w:space="0" w:color="000000"/>
            </w:tcBorders>
            <w:shd w:val="clear" w:color="auto" w:fill="F3F3F3"/>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lang w:eastAsia="zh-CN"/>
              </w:rPr>
              <w:t>Подрядчик</w:t>
            </w: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F3F3F3"/>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bCs/>
                <w:lang w:eastAsia="zh-CN"/>
              </w:rPr>
              <w:t>Заказчик</w:t>
            </w:r>
          </w:p>
        </w:tc>
      </w:tr>
      <w:tr w:rsidR="00737F00" w:rsidRPr="009535F4" w:rsidTr="00853A11">
        <w:trPr>
          <w:gridAfter w:val="1"/>
          <w:wAfter w:w="850" w:type="dxa"/>
          <w:trHeight w:val="549"/>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737F00" w:rsidRPr="009535F4" w:rsidTr="00853A11">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ИНН: 6312110828 / КПП: 631601001</w:t>
            </w:r>
          </w:p>
        </w:tc>
      </w:tr>
      <w:tr w:rsidR="00737F00" w:rsidRPr="009535F4" w:rsidTr="00853A11">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ОГРН: 1116312008340</w:t>
            </w:r>
          </w:p>
        </w:tc>
      </w:tr>
      <w:tr w:rsidR="00737F00" w:rsidRPr="009535F4" w:rsidTr="00853A11">
        <w:trPr>
          <w:gridAfter w:val="1"/>
          <w:wAfter w:w="850" w:type="dxa"/>
          <w:trHeight w:val="405"/>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Место нахождения: 443056, Самарская область,</w:t>
            </w: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 xml:space="preserve"> г. Самара, ул. Луначарского, д. 56</w:t>
            </w:r>
          </w:p>
        </w:tc>
      </w:tr>
      <w:tr w:rsidR="00737F00" w:rsidRPr="009535F4" w:rsidTr="00853A11">
        <w:trPr>
          <w:gridAfter w:val="1"/>
          <w:wAfter w:w="850" w:type="dxa"/>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Адрес для корреспонденции в РФ (с индексом): 443056, Самарская область, г. Самара, ул. Луначарского, д. 56</w:t>
            </w:r>
          </w:p>
        </w:tc>
      </w:tr>
      <w:tr w:rsidR="00737F00" w:rsidRPr="009535F4" w:rsidTr="00853A11">
        <w:trPr>
          <w:gridAfter w:val="1"/>
          <w:wAfter w:w="850" w:type="dxa"/>
          <w:trHeight w:val="367"/>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bCs/>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 xml:space="preserve">Тел./Факс (с кодом): (846) 979 93 80/ </w:t>
            </w: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(846)336-89-05</w:t>
            </w:r>
          </w:p>
        </w:tc>
      </w:tr>
      <w:tr w:rsidR="00737F00" w:rsidRPr="009535F4" w:rsidTr="00853A11">
        <w:trPr>
          <w:gridAfter w:val="1"/>
          <w:wAfter w:w="850" w:type="dxa"/>
          <w:trHeight w:val="434"/>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Банковские реквизиты: </w:t>
            </w:r>
          </w:p>
          <w:p w:rsidR="00737F00" w:rsidRPr="009535F4" w:rsidRDefault="00737F00" w:rsidP="00853A11">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Расчетный счет N 40702810100000047317 </w:t>
            </w:r>
          </w:p>
          <w:p w:rsidR="00737F00" w:rsidRPr="009535F4" w:rsidRDefault="00737F00" w:rsidP="00853A11">
            <w:pPr>
              <w:suppressAutoHyphens/>
              <w:spacing w:after="0" w:line="240" w:lineRule="auto"/>
              <w:jc w:val="both"/>
              <w:rPr>
                <w:rFonts w:ascii="Times New Roman" w:eastAsia="Times New Roman" w:hAnsi="Times New Roman" w:cs="Times New Roman"/>
                <w:bCs/>
                <w:lang w:eastAsia="zh-CN"/>
              </w:rPr>
            </w:pPr>
            <w:r w:rsidRPr="009535F4">
              <w:rPr>
                <w:rFonts w:ascii="Times New Roman" w:eastAsia="Times New Roman" w:hAnsi="Times New Roman" w:cs="Times New Roman"/>
                <w:bCs/>
                <w:lang w:eastAsia="zh-CN"/>
              </w:rPr>
              <w:t xml:space="preserve">в ГПБ (АО) </w:t>
            </w:r>
          </w:p>
          <w:p w:rsidR="00737F00" w:rsidRPr="009535F4" w:rsidRDefault="00737F00" w:rsidP="00853A11">
            <w:pPr>
              <w:suppressAutoHyphens/>
              <w:spacing w:after="0" w:line="240" w:lineRule="auto"/>
              <w:jc w:val="both"/>
              <w:rPr>
                <w:rFonts w:ascii="Times New Roman" w:eastAsia="Times New Roman" w:hAnsi="Times New Roman" w:cs="Times New Roman"/>
                <w:bCs/>
                <w:lang w:eastAsia="zh-CN"/>
              </w:rPr>
            </w:pPr>
            <w:proofErr w:type="spellStart"/>
            <w:r w:rsidRPr="009535F4">
              <w:rPr>
                <w:rFonts w:ascii="Times New Roman" w:eastAsia="Times New Roman" w:hAnsi="Times New Roman" w:cs="Times New Roman"/>
                <w:bCs/>
                <w:lang w:eastAsia="zh-CN"/>
              </w:rPr>
              <w:t>кор</w:t>
            </w:r>
            <w:proofErr w:type="gramStart"/>
            <w:r w:rsidRPr="009535F4">
              <w:rPr>
                <w:rFonts w:ascii="Times New Roman" w:eastAsia="Times New Roman" w:hAnsi="Times New Roman" w:cs="Times New Roman"/>
                <w:bCs/>
                <w:lang w:eastAsia="zh-CN"/>
              </w:rPr>
              <w:t>.с</w:t>
            </w:r>
            <w:proofErr w:type="gramEnd"/>
            <w:r w:rsidRPr="009535F4">
              <w:rPr>
                <w:rFonts w:ascii="Times New Roman" w:eastAsia="Times New Roman" w:hAnsi="Times New Roman" w:cs="Times New Roman"/>
                <w:bCs/>
                <w:lang w:eastAsia="zh-CN"/>
              </w:rPr>
              <w:t>чет</w:t>
            </w:r>
            <w:proofErr w:type="spellEnd"/>
            <w:r w:rsidRPr="009535F4">
              <w:rPr>
                <w:rFonts w:ascii="Times New Roman" w:eastAsia="Times New Roman" w:hAnsi="Times New Roman" w:cs="Times New Roman"/>
                <w:bCs/>
                <w:lang w:eastAsia="zh-CN"/>
              </w:rPr>
              <w:t xml:space="preserve"> N 30101810200000000823</w:t>
            </w: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БИК: 044525823</w:t>
            </w:r>
          </w:p>
        </w:tc>
      </w:tr>
      <w:tr w:rsidR="00737F00" w:rsidRPr="009535F4" w:rsidTr="00853A11">
        <w:trPr>
          <w:gridAfter w:val="1"/>
          <w:wAfter w:w="850" w:type="dxa"/>
          <w:cantSplit/>
          <w:trHeight w:val="739"/>
        </w:trPr>
        <w:tc>
          <w:tcPr>
            <w:tcW w:w="4962" w:type="dxa"/>
            <w:gridSpan w:val="2"/>
            <w:tcBorders>
              <w:top w:val="dotted" w:sz="4" w:space="0" w:color="000000"/>
              <w:left w:val="dotted" w:sz="4" w:space="0" w:color="000000"/>
              <w:bottom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245" w:type="dxa"/>
            <w:gridSpan w:val="2"/>
            <w:tcBorders>
              <w:top w:val="dotted" w:sz="4" w:space="0" w:color="000000"/>
              <w:left w:val="dotted" w:sz="4" w:space="0" w:color="000000"/>
              <w:bottom w:val="dotted" w:sz="4" w:space="0" w:color="000000"/>
              <w:right w:val="dotted" w:sz="4" w:space="0" w:color="000000"/>
            </w:tcBorders>
            <w:shd w:val="clear" w:color="auto" w:fill="auto"/>
          </w:tcPr>
          <w:p w:rsidR="00737F00" w:rsidRPr="009535F4" w:rsidRDefault="00737F00" w:rsidP="00853A11">
            <w:pPr>
              <w:suppressAutoHyphens/>
              <w:spacing w:after="0" w:line="240" w:lineRule="auto"/>
              <w:jc w:val="both"/>
              <w:rPr>
                <w:rFonts w:ascii="Times New Roman" w:eastAsia="Times New Roman" w:hAnsi="Times New Roman" w:cs="Times New Roman"/>
                <w:b/>
                <w:bCs/>
                <w:lang w:eastAsia="zh-CN"/>
              </w:rPr>
            </w:pPr>
            <w:r w:rsidRPr="009535F4">
              <w:rPr>
                <w:rFonts w:ascii="Times New Roman" w:eastAsia="Times New Roman" w:hAnsi="Times New Roman" w:cs="Times New Roman"/>
                <w:b/>
                <w:bCs/>
                <w:lang w:eastAsia="zh-CN"/>
              </w:rPr>
              <w:t>Главный управляющий директор</w:t>
            </w: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bCs/>
                <w:lang w:eastAsia="zh-CN"/>
              </w:rPr>
              <w:t>_____________________</w:t>
            </w:r>
            <w:r w:rsidRPr="009535F4">
              <w:rPr>
                <w:rFonts w:ascii="Times New Roman" w:eastAsia="Times New Roman" w:hAnsi="Times New Roman" w:cs="Times New Roman"/>
                <w:b/>
                <w:bCs/>
                <w:lang w:eastAsia="zh-CN"/>
              </w:rPr>
              <w:t>/ В. В. Бирюков /</w:t>
            </w:r>
          </w:p>
        </w:tc>
      </w:tr>
      <w:tr w:rsidR="00737F00" w:rsidRPr="009535F4" w:rsidTr="00853A11">
        <w:trPr>
          <w:gridBefore w:val="1"/>
          <w:wBefore w:w="567" w:type="dxa"/>
          <w:trHeight w:val="417"/>
        </w:trPr>
        <w:tc>
          <w:tcPr>
            <w:tcW w:w="5104" w:type="dxa"/>
            <w:gridSpan w:val="2"/>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lang w:eastAsia="zh-CN"/>
              </w:rPr>
              <w:t>М.П.«____»___________202</w:t>
            </w:r>
            <w:r>
              <w:rPr>
                <w:rFonts w:ascii="Times New Roman" w:eastAsia="Times New Roman" w:hAnsi="Times New Roman" w:cs="Times New Roman"/>
                <w:lang w:eastAsia="zh-CN"/>
              </w:rPr>
              <w:t>3</w:t>
            </w:r>
            <w:r w:rsidRPr="009535F4">
              <w:rPr>
                <w:rFonts w:ascii="Times New Roman" w:eastAsia="Times New Roman" w:hAnsi="Times New Roman" w:cs="Times New Roman"/>
                <w:lang w:eastAsia="zh-CN"/>
              </w:rPr>
              <w:t xml:space="preserve"> г.</w:t>
            </w:r>
          </w:p>
        </w:tc>
        <w:tc>
          <w:tcPr>
            <w:tcW w:w="5386" w:type="dxa"/>
            <w:gridSpan w:val="2"/>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r w:rsidRPr="009535F4">
              <w:rPr>
                <w:rFonts w:ascii="Times New Roman" w:eastAsia="Times New Roman" w:hAnsi="Times New Roman" w:cs="Times New Roman"/>
                <w:lang w:eastAsia="zh-CN"/>
              </w:rPr>
              <w:t>М.П.«____»___________202</w:t>
            </w:r>
            <w:r>
              <w:rPr>
                <w:rFonts w:ascii="Times New Roman" w:eastAsia="Times New Roman" w:hAnsi="Times New Roman" w:cs="Times New Roman"/>
                <w:lang w:eastAsia="zh-CN"/>
              </w:rPr>
              <w:t>3</w:t>
            </w:r>
            <w:r w:rsidRPr="009535F4">
              <w:rPr>
                <w:rFonts w:ascii="Times New Roman" w:eastAsia="Times New Roman" w:hAnsi="Times New Roman" w:cs="Times New Roman"/>
                <w:lang w:eastAsia="zh-CN"/>
              </w:rPr>
              <w:t xml:space="preserve"> г.</w:t>
            </w:r>
          </w:p>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r>
      <w:tr w:rsidR="00737F00" w:rsidRPr="009535F4" w:rsidTr="00853A11">
        <w:trPr>
          <w:gridBefore w:val="1"/>
          <w:wBefore w:w="567" w:type="dxa"/>
          <w:trHeight w:val="417"/>
        </w:trPr>
        <w:tc>
          <w:tcPr>
            <w:tcW w:w="5104" w:type="dxa"/>
            <w:gridSpan w:val="2"/>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c>
          <w:tcPr>
            <w:tcW w:w="5386" w:type="dxa"/>
            <w:gridSpan w:val="2"/>
          </w:tcPr>
          <w:p w:rsidR="00737F00" w:rsidRPr="009535F4" w:rsidRDefault="00737F00" w:rsidP="00853A11">
            <w:pPr>
              <w:suppressAutoHyphens/>
              <w:spacing w:after="0" w:line="240" w:lineRule="auto"/>
              <w:jc w:val="both"/>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6F4"/>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13EC"/>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36CAD"/>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1AE1"/>
    <w:rsid w:val="006C3DED"/>
    <w:rsid w:val="006E5ED0"/>
    <w:rsid w:val="006F7B4E"/>
    <w:rsid w:val="00703CD6"/>
    <w:rsid w:val="00712E2D"/>
    <w:rsid w:val="00713D63"/>
    <w:rsid w:val="007236D9"/>
    <w:rsid w:val="00724E04"/>
    <w:rsid w:val="00737F00"/>
    <w:rsid w:val="00743F2D"/>
    <w:rsid w:val="00755D0D"/>
    <w:rsid w:val="00770839"/>
    <w:rsid w:val="00775258"/>
    <w:rsid w:val="00791086"/>
    <w:rsid w:val="00791440"/>
    <w:rsid w:val="007D55CF"/>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123B"/>
    <w:rsid w:val="0090523F"/>
    <w:rsid w:val="009368C1"/>
    <w:rsid w:val="00974E05"/>
    <w:rsid w:val="00984A29"/>
    <w:rsid w:val="00996A1B"/>
    <w:rsid w:val="009A3F5D"/>
    <w:rsid w:val="009A6F37"/>
    <w:rsid w:val="009B63B3"/>
    <w:rsid w:val="009C719D"/>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BF2F9A"/>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 w:type="paragraph" w:styleId="af7">
    <w:name w:val="Body Text Indent"/>
    <w:basedOn w:val="a"/>
    <w:link w:val="af8"/>
    <w:uiPriority w:val="99"/>
    <w:unhideWhenUsed/>
    <w:rsid w:val="007D55CF"/>
    <w:pPr>
      <w:spacing w:after="120"/>
      <w:ind w:left="283"/>
    </w:pPr>
  </w:style>
  <w:style w:type="character" w:customStyle="1" w:styleId="af8">
    <w:name w:val="Основной текст с отступом Знак"/>
    <w:basedOn w:val="a0"/>
    <w:link w:val="af7"/>
    <w:uiPriority w:val="99"/>
    <w:rsid w:val="007D55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 w:type="paragraph" w:styleId="af7">
    <w:name w:val="Body Text Indent"/>
    <w:basedOn w:val="a"/>
    <w:link w:val="af8"/>
    <w:uiPriority w:val="99"/>
    <w:unhideWhenUsed/>
    <w:rsid w:val="007D55CF"/>
    <w:pPr>
      <w:spacing w:after="120"/>
      <w:ind w:left="283"/>
    </w:pPr>
  </w:style>
  <w:style w:type="character" w:customStyle="1" w:styleId="af8">
    <w:name w:val="Основной текст с отступом Знак"/>
    <w:basedOn w:val="a0"/>
    <w:link w:val="af7"/>
    <w:uiPriority w:val="99"/>
    <w:rsid w:val="007D5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5F0DA-8692-4FF4-BEEC-79EE68D9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7336</Words>
  <Characters>41819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6</cp:revision>
  <dcterms:created xsi:type="dcterms:W3CDTF">2023-07-10T09:53:00Z</dcterms:created>
  <dcterms:modified xsi:type="dcterms:W3CDTF">2023-10-30T07:27:00Z</dcterms:modified>
</cp:coreProperties>
</file>